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7DF" w:rsidRDefault="003714F3">
      <w:bookmarkStart w:id="0" w:name="_GoBack"/>
      <w:bookmarkEnd w:id="0"/>
      <w:r>
        <w:t>Chapter 9 Key Terms Amicus Curiae Federalist #10 Grass roots lobbying Interest Group Iron Triangle Lobbying Propaganda Public Policy Social Capital Guiding Questions 1. Explain James Madison’s views on the controlling of interest groups as described in Federalist #10 2. Describe the role interest groups play in influencing public policy 3. Explain the positive and negative elements of interest groups in US politics 4. Explain various theories on why interest groups form 5. Explain interest groups’ major goals in influencing public policy 6. Explain how interest groups lobby the executive, legislative, and judicial branches</w:t>
      </w:r>
    </w:p>
    <w:sectPr w:rsidR="004F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F3"/>
    <w:rsid w:val="003714F3"/>
    <w:rsid w:val="004F37DF"/>
    <w:rsid w:val="005F010A"/>
    <w:rsid w:val="00B24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admin admin</cp:lastModifiedBy>
  <cp:revision>2</cp:revision>
  <dcterms:created xsi:type="dcterms:W3CDTF">2015-02-17T20:31:00Z</dcterms:created>
  <dcterms:modified xsi:type="dcterms:W3CDTF">2015-02-17T20:31:00Z</dcterms:modified>
</cp:coreProperties>
</file>