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9" w:rsidRDefault="00EB05EC">
      <w:hyperlink r:id="rId5" w:history="1">
        <w:r w:rsidRPr="00D65B86">
          <w:rPr>
            <w:rStyle w:val="Hyperlink"/>
          </w:rPr>
          <w:t>https://www.nytimes.com/learning/issues_in_depth/10SupremeCourtIdeas.html</w:t>
        </w:r>
      </w:hyperlink>
    </w:p>
    <w:p w:rsidR="00EB05EC" w:rsidRDefault="00EB05EC"/>
    <w:p w:rsidR="00EB05EC" w:rsidRDefault="00EB05EC"/>
    <w:p w:rsidR="00EB05EC" w:rsidRDefault="00EB05EC">
      <w:hyperlink r:id="rId6" w:history="1">
        <w:r w:rsidRPr="00D65B86">
          <w:rPr>
            <w:rStyle w:val="Hyperlink"/>
          </w:rPr>
          <w:t>http://www.streetlaw.org/en/newsroom/Article/460/2014_Supreme_Court_Case_Summaries__Teaching_Materials</w:t>
        </w:r>
      </w:hyperlink>
    </w:p>
    <w:p w:rsidR="00EB05EC" w:rsidRDefault="00EB05EC">
      <w:bookmarkStart w:id="0" w:name="_GoBack"/>
      <w:bookmarkEnd w:id="0"/>
    </w:p>
    <w:sectPr w:rsidR="00EB05EC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C"/>
    <w:rsid w:val="003A1F99"/>
    <w:rsid w:val="00E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learning/issues_in_depth/10SupremeCourtIdeas.html" TargetMode="External"/><Relationship Id="rId6" Type="http://schemas.openxmlformats.org/officeDocument/2006/relationships/hyperlink" Target="http://www.streetlaw.org/en/newsroom/Article/460/2014_Supreme_Court_Case_Summaries__Teaching_Mate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eanesisd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2015-03-30T17:15:00Z</dcterms:created>
  <dcterms:modified xsi:type="dcterms:W3CDTF">2015-03-30T17:17:00Z</dcterms:modified>
</cp:coreProperties>
</file>